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D0" w:rsidRDefault="00F273D2" w:rsidP="00F273D2">
      <w:pPr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</w:t>
      </w:r>
      <w:r w:rsidR="008C27D0" w:rsidRPr="008C27D0">
        <w:rPr>
          <w:rFonts w:ascii="Arial Narrow" w:hAnsi="Arial Narrow" w:cs="Tahoma"/>
          <w:b/>
          <w:sz w:val="24"/>
          <w:szCs w:val="24"/>
        </w:rPr>
        <w:t>NE/EZP-I/1/2021</w:t>
      </w:r>
      <w:r w:rsidR="008C27D0"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8C27D0">
        <w:rPr>
          <w:rFonts w:ascii="Arial Narrow" w:hAnsi="Arial Narrow" w:cs="Tahoma"/>
          <w:b/>
          <w:sz w:val="24"/>
          <w:szCs w:val="24"/>
        </w:rPr>
        <w:t xml:space="preserve"> Załącznik nr </w:t>
      </w:r>
      <w:r w:rsidR="00597401">
        <w:rPr>
          <w:rFonts w:ascii="Arial Narrow" w:hAnsi="Arial Narrow" w:cs="Tahoma"/>
          <w:b/>
          <w:sz w:val="24"/>
          <w:szCs w:val="24"/>
        </w:rPr>
        <w:t>10</w:t>
      </w:r>
      <w:r w:rsidR="008C27D0">
        <w:rPr>
          <w:rFonts w:ascii="Arial Narrow" w:hAnsi="Arial Narrow" w:cs="Tahoma"/>
          <w:b/>
          <w:sz w:val="24"/>
          <w:szCs w:val="24"/>
        </w:rPr>
        <w:t xml:space="preserve"> do SWZ.</w:t>
      </w:r>
    </w:p>
    <w:p w:rsidR="008C27D0" w:rsidRDefault="008C27D0" w:rsidP="008C27D0">
      <w:pPr>
        <w:rPr>
          <w:rFonts w:ascii="Arial Narrow" w:hAnsi="Arial Narrow" w:cs="Tahoma"/>
          <w:b/>
          <w:sz w:val="24"/>
          <w:szCs w:val="24"/>
        </w:rPr>
      </w:pPr>
    </w:p>
    <w:p w:rsidR="00440E08" w:rsidRPr="008C27D0" w:rsidRDefault="000C7D82" w:rsidP="001B76FC">
      <w:pP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     </w:t>
      </w:r>
      <w:r w:rsidR="00E01D00">
        <w:rPr>
          <w:rFonts w:ascii="Arial Narrow" w:hAnsi="Arial Narrow" w:cs="Tahoma"/>
          <w:b/>
          <w:sz w:val="28"/>
          <w:szCs w:val="28"/>
        </w:rPr>
        <w:t>O</w:t>
      </w:r>
      <w:r w:rsidR="00543539">
        <w:rPr>
          <w:rFonts w:ascii="Arial Narrow" w:hAnsi="Arial Narrow" w:cs="Tahoma"/>
          <w:b/>
          <w:sz w:val="28"/>
          <w:szCs w:val="28"/>
        </w:rPr>
        <w:t xml:space="preserve">PIS PRZEDMIOTU OFERTY WYKONAWCY – </w:t>
      </w:r>
      <w:r w:rsidR="00D46E27">
        <w:rPr>
          <w:rFonts w:ascii="Arial Narrow" w:hAnsi="Arial Narrow" w:cs="Tahoma"/>
          <w:b/>
          <w:sz w:val="28"/>
          <w:szCs w:val="28"/>
          <w:highlight w:val="lightGray"/>
        </w:rPr>
        <w:t>Część</w:t>
      </w:r>
      <w:r w:rsidR="00F273D2">
        <w:rPr>
          <w:rFonts w:ascii="Arial Narrow" w:hAnsi="Arial Narrow" w:cs="Tahoma"/>
          <w:b/>
          <w:sz w:val="28"/>
          <w:szCs w:val="28"/>
          <w:highlight w:val="lightGray"/>
        </w:rPr>
        <w:t xml:space="preserve"> 2</w:t>
      </w:r>
      <w:r w:rsidR="00543539" w:rsidRPr="00543539">
        <w:rPr>
          <w:rFonts w:ascii="Arial Narrow" w:hAnsi="Arial Narrow" w:cs="Tahoma"/>
          <w:b/>
          <w:sz w:val="28"/>
          <w:szCs w:val="28"/>
          <w:highlight w:val="lightGray"/>
        </w:rPr>
        <w:t>.</w:t>
      </w:r>
    </w:p>
    <w:p w:rsidR="001B76FC" w:rsidRPr="008C27D0" w:rsidRDefault="001B76FC">
      <w:pPr>
        <w:rPr>
          <w:rFonts w:ascii="Arial Narrow" w:hAnsi="Arial Narrow"/>
        </w:rPr>
      </w:pPr>
    </w:p>
    <w:tbl>
      <w:tblPr>
        <w:tblStyle w:val="Tabela-Siatka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99"/>
        <w:gridCol w:w="8296"/>
        <w:gridCol w:w="2116"/>
        <w:gridCol w:w="3465"/>
      </w:tblGrid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A47F14" w:rsidP="00A47F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Warunki/parametry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543539" w:rsidP="00A47F14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WYMAGANE PARAMETRY TECHNICZNO-UŻYTKOWE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D017B0" w:rsidRDefault="00D017B0" w:rsidP="00CD5714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b/>
                <w:sz w:val="20"/>
                <w:szCs w:val="20"/>
              </w:rPr>
              <w:t>Potwierdzenie spełnienia wymagań TAK/ NIE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EA2" w:rsidRDefault="00D017B0" w:rsidP="00D643FA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</w:pPr>
            <w:r w:rsidRPr="00D017B0">
              <w:rPr>
                <w:rFonts w:ascii="Arial Narrow" w:eastAsia="Arial" w:hAnsi="Arial Narrow"/>
                <w:b/>
                <w:color w:val="auto"/>
                <w:sz w:val="20"/>
                <w:szCs w:val="20"/>
                <w:lang w:eastAsia="ar-SA"/>
              </w:rPr>
              <w:t>PARAMETRY OFEROWANE:</w:t>
            </w: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A47F14" w:rsidRPr="00D017B0" w:rsidRDefault="00D017B0" w:rsidP="00F273D2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ind w:left="97"/>
              <w:jc w:val="both"/>
              <w:rPr>
                <w:rFonts w:ascii="Arial Narrow" w:eastAsia="Arial" w:hAnsi="Arial Narrow"/>
                <w:b/>
                <w:sz w:val="20"/>
                <w:szCs w:val="20"/>
              </w:rPr>
            </w:pPr>
            <w:r w:rsidRPr="00D017B0">
              <w:rPr>
                <w:rFonts w:ascii="Arial Narrow" w:eastAsia="Arial" w:hAnsi="Arial Narrow"/>
                <w:color w:val="auto"/>
                <w:sz w:val="20"/>
                <w:szCs w:val="20"/>
                <w:lang w:eastAsia="ar-SA"/>
              </w:rPr>
              <w:t>(opisać jakie, jeśli są inne niż w kolumnie 3)</w:t>
            </w:r>
          </w:p>
        </w:tc>
      </w:tr>
      <w:tr w:rsidR="00A47F14" w:rsidRPr="008C27D0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F14" w:rsidRDefault="00543539" w:rsidP="00D71726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Default="00A47F14" w:rsidP="00543539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2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A47F14" w:rsidP="00543539">
            <w:pPr>
              <w:pStyle w:val="Default"/>
              <w:snapToGrid w:val="0"/>
              <w:spacing w:line="276" w:lineRule="auto"/>
              <w:jc w:val="center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           </w:t>
            </w:r>
            <w:r w:rsidR="00A47F14">
              <w:rPr>
                <w:rFonts w:ascii="Arial Narrow" w:eastAsia="Arial" w:hAnsi="Arial Narrow"/>
                <w:b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F14" w:rsidRPr="001B1FE7" w:rsidRDefault="00190B87" w:rsidP="00190B87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  <w:b/>
              </w:rPr>
            </w:pPr>
            <w:r>
              <w:rPr>
                <w:rFonts w:ascii="Arial Narrow" w:eastAsia="Arial" w:hAnsi="Arial Narrow"/>
                <w:b/>
              </w:rPr>
              <w:t xml:space="preserve">     </w:t>
            </w:r>
            <w:r w:rsidR="00A47F14">
              <w:rPr>
                <w:rFonts w:ascii="Arial Narrow" w:eastAsia="Arial" w:hAnsi="Arial Narrow"/>
                <w:b/>
              </w:rPr>
              <w:t>5</w:t>
            </w:r>
          </w:p>
        </w:tc>
      </w:tr>
      <w:tr w:rsidR="00DF38EF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8EF" w:rsidRPr="00CD5714" w:rsidRDefault="00DF38EF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</w:t>
            </w:r>
            <w:r w:rsidR="00D1695A" w:rsidRPr="00CD5714">
              <w:rPr>
                <w:rFonts w:ascii="Arial Narrow" w:eastAsia="Arial" w:hAnsi="Arial Narrow"/>
              </w:rPr>
              <w:t>.</w:t>
            </w:r>
          </w:p>
        </w:tc>
        <w:tc>
          <w:tcPr>
            <w:tcW w:w="1999" w:type="dxa"/>
          </w:tcPr>
          <w:p w:rsidR="00DF38EF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I. </w:t>
            </w:r>
            <w:r w:rsidR="00DF38EF" w:rsidRPr="00CD5714">
              <w:rPr>
                <w:rFonts w:ascii="Arial Narrow" w:hAnsi="Arial Narrow" w:cs="Times New Roman"/>
                <w:b/>
                <w:sz w:val="24"/>
                <w:szCs w:val="24"/>
              </w:rPr>
              <w:t>System ładowania baterii trakcyjnych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1.</w:t>
            </w:r>
            <w:r w:rsidRPr="00CD5714">
              <w:rPr>
                <w:rFonts w:ascii="Arial Narrow" w:eastAsia="Arial" w:hAnsi="Arial Narrow"/>
              </w:rPr>
              <w:tab/>
              <w:t>System ładowania (zarówno autobus jak i ładowarka – sprzętowa i programowa) musi być kompatybilny z dotychczas eksploatowanymi przez zamawiającego autobusami i ładowarkami.</w:t>
            </w:r>
          </w:p>
          <w:p w:rsidR="00DF38EF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Protokół transmisji danych ładowania plug-in: komunikacja przewodowa PLC (Power Line Communication) bazująca na normach: IEC 61851, DIN 70121, ISO/IEC 15118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8EF" w:rsidRPr="00CD5714" w:rsidRDefault="00DF38EF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II.</w:t>
            </w:r>
            <w:r w:rsidRPr="00CD571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ŁADOWANIE PLUG IN- OFF BOARD</w:t>
            </w:r>
          </w:p>
          <w:p w:rsidR="00D1695A" w:rsidRPr="00CD5714" w:rsidRDefault="00D1695A" w:rsidP="00DF38E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997054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1.</w:t>
            </w:r>
            <w:r>
              <w:rPr>
                <w:rFonts w:ascii="Arial Narrow" w:eastAsia="Arial" w:hAnsi="Arial Narrow"/>
              </w:rPr>
              <w:tab/>
              <w:t>Ładowanie o mocy 40/80</w:t>
            </w:r>
            <w:r w:rsidR="00714F41">
              <w:rPr>
                <w:rFonts w:ascii="Arial Narrow" w:eastAsia="Arial" w:hAnsi="Arial Narrow"/>
              </w:rPr>
              <w:t>kW ±3</w:t>
            </w:r>
            <w:r w:rsidR="00D1695A" w:rsidRPr="00CD5714">
              <w:rPr>
                <w:rFonts w:ascii="Arial Narrow" w:eastAsia="Arial" w:hAnsi="Arial Narrow"/>
              </w:rPr>
              <w:t>% z automatycznym dwufunkcyjnym samoczynnym przełączaniem się z jednego pojazdu na dwa wozy przy podłączeniu drugiego autobusu i rozłożenie mocy proporcjonalnie do stopnia rozładowania akumulatorów trakcyjnych.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2.</w:t>
            </w:r>
            <w:r w:rsidRPr="00CD5714">
              <w:rPr>
                <w:rFonts w:ascii="Arial Narrow" w:eastAsia="Arial" w:hAnsi="Arial Narrow"/>
              </w:rPr>
              <w:tab/>
              <w:t>Wtyczka ładowania Combo 2 Type2/Mode4 CC S 125A (200A) o mocy 40 do 120 kW,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  <w:r w:rsidRPr="00CD5714">
              <w:rPr>
                <w:rFonts w:ascii="Arial Narrow" w:eastAsia="Arial" w:hAnsi="Arial Narrow"/>
              </w:rPr>
              <w:tab/>
              <w:t>Przewody zasilające w oplocie ochronnym.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  <w:r w:rsidRPr="00CD5714">
              <w:rPr>
                <w:rFonts w:ascii="Arial Narrow" w:eastAsia="Arial" w:hAnsi="Arial Narrow"/>
              </w:rPr>
              <w:tab/>
              <w:t>Przewód zasilający pojazd min. Długość 8m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5.</w:t>
            </w:r>
            <w:r w:rsidRPr="00CD5714">
              <w:rPr>
                <w:rFonts w:ascii="Arial Narrow" w:eastAsia="Arial" w:hAnsi="Arial Narrow"/>
              </w:rPr>
              <w:tab/>
              <w:t>Stacja ładowania musi zapewnić możliwość ładowania 24h/doba, 7 dni w tygodniu z wyłączeniem czasu na prace serwisowe.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6.</w:t>
            </w:r>
            <w:r w:rsidRPr="00CD5714">
              <w:rPr>
                <w:rFonts w:ascii="Arial Narrow" w:eastAsia="Arial" w:hAnsi="Arial Narrow"/>
              </w:rPr>
              <w:tab/>
              <w:t>Stacja ładowania musi posiadać metalową obudowę, odporną na korozję (aluminium lub blacha nierdzewna, malowane proszkowo) z zachowaniem stopnia szczelności min. IP54 oraz zapewniać odporność na akty wandalizmu (IK10).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lastRenderedPageBreak/>
              <w:t>7.</w:t>
            </w:r>
            <w:r w:rsidRPr="00CD5714">
              <w:rPr>
                <w:rFonts w:ascii="Arial Narrow" w:eastAsia="Arial" w:hAnsi="Arial Narrow"/>
              </w:rPr>
              <w:tab/>
            </w:r>
            <w:r w:rsidR="00564910">
              <w:rPr>
                <w:rFonts w:ascii="Arial Narrow" w:eastAsia="Calibri" w:hAnsi="Arial Narrow"/>
              </w:rPr>
              <w:t>Z</w:t>
            </w:r>
            <w:r w:rsidR="00984400" w:rsidRPr="00984400">
              <w:rPr>
                <w:rFonts w:ascii="Arial Narrow" w:eastAsia="Calibri" w:hAnsi="Arial Narrow"/>
              </w:rPr>
              <w:t>dolność do pracy z maksymalną ciągłą mocą w deszczu lub śniegu oraz</w:t>
            </w:r>
            <w:r w:rsidR="00AA55B4">
              <w:rPr>
                <w:rFonts w:ascii="Arial Narrow" w:eastAsia="Calibri" w:hAnsi="Arial Narrow"/>
              </w:rPr>
              <w:t xml:space="preserve">                    </w:t>
            </w:r>
            <w:r w:rsidR="00984400" w:rsidRPr="00984400">
              <w:rPr>
                <w:rFonts w:ascii="Arial Narrow" w:eastAsia="Calibri" w:hAnsi="Arial Narrow"/>
              </w:rPr>
              <w:t xml:space="preserve"> w zakr</w:t>
            </w:r>
            <w:r w:rsidR="00AA55B4">
              <w:rPr>
                <w:rFonts w:ascii="Arial Narrow" w:eastAsia="Calibri" w:hAnsi="Arial Narrow"/>
              </w:rPr>
              <w:t>esie temperatur od -25C do +45C</w:t>
            </w:r>
            <w:r w:rsidRPr="00CD5714">
              <w:rPr>
                <w:rFonts w:ascii="Arial Narrow" w:eastAsia="Arial" w:hAnsi="Arial Narrow"/>
              </w:rPr>
              <w:t>.</w:t>
            </w:r>
          </w:p>
          <w:p w:rsidR="00D1695A" w:rsidRPr="002872BB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  <w:strike/>
              </w:rPr>
            </w:pPr>
            <w:r w:rsidRPr="00CD5714">
              <w:rPr>
                <w:rFonts w:ascii="Arial Narrow" w:eastAsia="Arial" w:hAnsi="Arial Narrow"/>
              </w:rPr>
              <w:t>8.</w:t>
            </w:r>
            <w:r w:rsidRPr="00CD5714">
              <w:rPr>
                <w:rFonts w:ascii="Arial Narrow" w:eastAsia="Arial" w:hAnsi="Arial Narrow"/>
              </w:rPr>
              <w:tab/>
            </w:r>
            <w:r w:rsidRPr="002872BB">
              <w:rPr>
                <w:rFonts w:ascii="Arial Narrow" w:eastAsia="Arial" w:hAnsi="Arial Narrow"/>
                <w:strike/>
              </w:rPr>
              <w:t>Stacja ładowania musi być wyposażona dodatkowo w „daszek” nad górną pokrywą ładowarki, który ma chronić panel sterowania przed warunkami atmosferycznymi.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9.</w:t>
            </w:r>
            <w:r w:rsidRPr="00CD5714">
              <w:rPr>
                <w:rFonts w:ascii="Arial Narrow" w:eastAsia="Arial" w:hAnsi="Arial Narrow"/>
              </w:rPr>
              <w:tab/>
              <w:t>Stacja ładowania musi być mobilna – możliwość zmiany miejsca stanowiska bez angażowania urządzeń dźwigowych (wyposażona w kółka transportowe skrętne z hamulcem).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10.</w:t>
            </w:r>
            <w:r w:rsidRPr="00CD5714">
              <w:rPr>
                <w:rFonts w:ascii="Arial Narrow" w:eastAsia="Arial" w:hAnsi="Arial Narrow"/>
              </w:rPr>
              <w:tab/>
              <w:t>Dostarczana stacja ładowania musi posiadać certyfikat deklaracji zgodności CE producenta.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11.</w:t>
            </w:r>
            <w:r w:rsidRPr="00CD5714">
              <w:rPr>
                <w:rFonts w:ascii="Arial Narrow" w:eastAsia="Arial" w:hAnsi="Arial Narrow"/>
              </w:rPr>
              <w:tab/>
              <w:t>Wykonawca wraz z ładowarką dostarczy niezbędną dokumentację do odbioru przez Urząd Dozoru Technicznego</w:t>
            </w:r>
          </w:p>
          <w:p w:rsidR="00D1695A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  <w:color w:val="auto"/>
              </w:rPr>
            </w:pPr>
            <w:r w:rsidRPr="00CD5714">
              <w:rPr>
                <w:rFonts w:ascii="Arial Narrow" w:eastAsia="Arial" w:hAnsi="Arial Narrow"/>
              </w:rPr>
              <w:t>12.</w:t>
            </w:r>
            <w:r w:rsidRPr="00CD5714">
              <w:rPr>
                <w:rFonts w:ascii="Arial Narrow" w:eastAsia="Arial" w:hAnsi="Arial Narrow"/>
              </w:rPr>
              <w:tab/>
              <w:t xml:space="preserve">Okres gwarancji na </w:t>
            </w:r>
            <w:r w:rsidR="00616B61" w:rsidRPr="00616B61">
              <w:rPr>
                <w:rFonts w:ascii="Arial Narrow" w:eastAsia="Times New Roman" w:hAnsi="Arial Narrow" w:cs="Times New Roman"/>
                <w:bCs/>
                <w:color w:val="auto"/>
                <w:lang w:eastAsia="pl-PL"/>
              </w:rPr>
              <w:t xml:space="preserve">nowe ładowarki dwufunkcyjne dwustanowiskowe oraz system zarządzania procesem ładowania </w:t>
            </w:r>
            <w:r w:rsidR="007707F0">
              <w:rPr>
                <w:rFonts w:ascii="Arial Narrow" w:eastAsia="Arial" w:hAnsi="Arial Narrow"/>
                <w:color w:val="auto"/>
              </w:rPr>
              <w:t xml:space="preserve">minimum </w:t>
            </w:r>
            <w:r w:rsidR="007707F0" w:rsidRPr="00616B61">
              <w:rPr>
                <w:rFonts w:ascii="Arial Narrow" w:eastAsia="Arial" w:hAnsi="Arial Narrow"/>
                <w:b/>
                <w:color w:val="auto"/>
              </w:rPr>
              <w:t>8 lat – 96</w:t>
            </w:r>
            <w:r w:rsidRPr="00616B61">
              <w:rPr>
                <w:rFonts w:ascii="Arial Narrow" w:eastAsia="Arial" w:hAnsi="Arial Narrow"/>
                <w:b/>
                <w:color w:val="auto"/>
              </w:rPr>
              <w:t xml:space="preserve"> miesięcy.</w:t>
            </w:r>
          </w:p>
          <w:p w:rsidR="007707F0" w:rsidRPr="007707F0" w:rsidRDefault="007707F0" w:rsidP="007707F0">
            <w:pPr>
              <w:pStyle w:val="Default"/>
              <w:snapToGrid w:val="0"/>
              <w:spacing w:line="276" w:lineRule="auto"/>
              <w:jc w:val="both"/>
              <w:rPr>
                <w:rFonts w:ascii="Arial Narrow" w:eastAsia="Arial" w:hAnsi="Arial Narrow"/>
                <w:b/>
              </w:rPr>
            </w:pPr>
            <w:r w:rsidRPr="007707F0">
              <w:rPr>
                <w:rFonts w:ascii="Arial Narrow" w:eastAsia="Arial" w:hAnsi="Arial Narrow"/>
                <w:b/>
              </w:rPr>
              <w:t>W okresie gw</w:t>
            </w:r>
            <w:r w:rsidR="00671AA7">
              <w:rPr>
                <w:rFonts w:ascii="Arial Narrow" w:eastAsia="Arial" w:hAnsi="Arial Narrow"/>
                <w:b/>
              </w:rPr>
              <w:t>arancji, o którym mowa w ust.12</w:t>
            </w:r>
            <w:r w:rsidRPr="007707F0">
              <w:rPr>
                <w:rFonts w:ascii="Arial Narrow" w:eastAsia="Arial" w:hAnsi="Arial Narrow"/>
                <w:b/>
              </w:rPr>
              <w:t>, Wykonawca zobowiązany jest do wykonywania wymaganych przeglądów serwisowych oraz napraw bieżących, usuwania wad nie późnie</w:t>
            </w:r>
            <w:r>
              <w:rPr>
                <w:rFonts w:ascii="Arial Narrow" w:eastAsia="Arial" w:hAnsi="Arial Narrow"/>
                <w:b/>
              </w:rPr>
              <w:t xml:space="preserve">j niż </w:t>
            </w:r>
            <w:r w:rsidRPr="007707F0">
              <w:rPr>
                <w:rFonts w:ascii="Arial Narrow" w:eastAsia="Arial" w:hAnsi="Arial Narrow"/>
                <w:b/>
              </w:rPr>
              <w:t>w ciągu 48 godzin od dnia zgłoszenia przez Zamawiającego.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13.</w:t>
            </w:r>
            <w:r w:rsidRPr="00CD5714">
              <w:rPr>
                <w:rFonts w:ascii="Arial Narrow" w:eastAsia="Arial" w:hAnsi="Arial Narrow"/>
              </w:rPr>
              <w:tab/>
              <w:t>Ładowarka wyposażona w gniazda przyłączeniowe do sieci energetycznej o napięciu 400V/AC i odpowiednim amperażem w stosunku do mocy ładowarki.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14.</w:t>
            </w:r>
            <w:r w:rsidRPr="00CD5714">
              <w:rPr>
                <w:rFonts w:ascii="Arial Narrow" w:eastAsia="Arial" w:hAnsi="Arial Narrow"/>
              </w:rPr>
              <w:tab/>
              <w:t>Panel stacja ładowania musi być wyposażony w niezbędne przyciski sterownicze, załączające wyłączanie awaryjne, chroniące przed załączaniem przez osoby postronne oraz sygnalizację świetlną odwzorowująca stan pracy.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15.</w:t>
            </w:r>
            <w:r w:rsidRPr="00CD5714">
              <w:rPr>
                <w:rFonts w:ascii="Arial Narrow" w:eastAsia="Arial" w:hAnsi="Arial Narrow"/>
              </w:rPr>
              <w:tab/>
              <w:t>Napięcie na wyjściu wszystkich złączy ładowania powinno pojawić się dopiero po poprawnym podłączeniu autobusu lub pojazdu do danego złącza stacji ładowania, poprawnej identyfikacji i komunikacji.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16.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sygnalizację LED informujące co najmniej o trwającym procesie ładowania lub statusie awarii.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17.</w:t>
            </w:r>
            <w:r w:rsidRPr="00CD5714">
              <w:rPr>
                <w:rFonts w:ascii="Arial Narrow" w:eastAsia="Arial" w:hAnsi="Arial Narrow"/>
              </w:rPr>
              <w:tab/>
              <w:t>Zapewniona izolacja galwaniczna na poziomie min. 3kV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18.</w:t>
            </w:r>
            <w:r w:rsidRPr="00CD5714">
              <w:rPr>
                <w:rFonts w:ascii="Arial Narrow" w:eastAsia="Arial" w:hAnsi="Arial Narrow"/>
              </w:rPr>
              <w:tab/>
              <w:t>Stacja ładowania musi być wyposażona w kontrolę rezystancji izolacji (IMD).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19.</w:t>
            </w:r>
            <w:r w:rsidRPr="00CD5714">
              <w:rPr>
                <w:rFonts w:ascii="Arial Narrow" w:eastAsia="Arial" w:hAnsi="Arial Narrow"/>
              </w:rPr>
              <w:tab/>
              <w:t xml:space="preserve">Wykonawca wraz z dostarczonymi ładowarkami dokona montażu w rozdzielni zasilającej ładowarki ogranicznika poboru mocy zamówionej, regulacja ograniczenia ma obejmować pobór mocy w zakresie od 100 do 600kW w sposób płynny lub skokowy co 10kW. Ogranicznik ma być cyfrowy z kodowaniem dostępu </w:t>
            </w:r>
            <w:r w:rsidR="00997F17">
              <w:rPr>
                <w:rFonts w:ascii="Arial Narrow" w:eastAsia="Arial" w:hAnsi="Arial Narrow"/>
              </w:rPr>
              <w:t>przez</w:t>
            </w:r>
            <w:r w:rsidRPr="00CD5714">
              <w:rPr>
                <w:rFonts w:ascii="Arial Narrow" w:eastAsia="Arial" w:hAnsi="Arial Narrow"/>
              </w:rPr>
              <w:t xml:space="preserve"> Zamawiającego a zadane nastawy będą mogły być wprowadzane manualnie.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20.</w:t>
            </w:r>
            <w:r w:rsidRPr="00CD5714">
              <w:rPr>
                <w:rFonts w:ascii="Arial Narrow" w:eastAsia="Arial" w:hAnsi="Arial Narrow"/>
              </w:rPr>
              <w:tab/>
              <w:t>W zakresie wymagań energetycznych stacja ładowania musi zapewniać: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a.</w:t>
            </w:r>
            <w:r w:rsidRPr="00CD5714">
              <w:rPr>
                <w:rFonts w:ascii="Arial Narrow" w:eastAsia="Arial" w:hAnsi="Arial Narrow"/>
              </w:rPr>
              <w:tab/>
              <w:t>Separację galwaniczną wyjścia względem wejścia w zakresie i zgodnie z obowiązującymi przepisami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b.</w:t>
            </w:r>
            <w:r w:rsidRPr="00CD5714">
              <w:rPr>
                <w:rFonts w:ascii="Arial Narrow" w:eastAsia="Arial" w:hAnsi="Arial Narrow"/>
              </w:rPr>
              <w:tab/>
              <w:t>Wejściowy indukcyjny współczynnik mocy cos&lt;pmd&gt;0,95, ładowarka nie może pobierać z sieci mocy biernej pojemnościowej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c.</w:t>
            </w:r>
            <w:r w:rsidRPr="00CD5714">
              <w:rPr>
                <w:rFonts w:ascii="Arial Narrow" w:eastAsia="Arial" w:hAnsi="Arial Narrow"/>
              </w:rPr>
              <w:tab/>
              <w:t>Sprawność minimum 95%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d.</w:t>
            </w:r>
            <w:r w:rsidRPr="00CD5714">
              <w:rPr>
                <w:rFonts w:ascii="Arial Narrow" w:eastAsia="Arial" w:hAnsi="Arial Narrow"/>
              </w:rPr>
              <w:tab/>
              <w:t>Zasilanie z sieci trójfazowej nN o częstotliwości 50 Hz i napięciu 400V.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21.</w:t>
            </w:r>
            <w:r w:rsidRPr="00CD5714">
              <w:rPr>
                <w:rFonts w:ascii="Arial Narrow" w:eastAsia="Arial" w:hAnsi="Arial Narrow"/>
              </w:rPr>
              <w:tab/>
              <w:t>Ładowarka w trakcie pracy nie może zakłócać innych urządzeń elektroenergetycznych poprzez wytwarzane pole elektromagnetyczne i musi być odporna na takie zakłócenia.</w:t>
            </w:r>
          </w:p>
          <w:p w:rsidR="00D1695A" w:rsidRPr="00CD5714" w:rsidRDefault="00D1695A" w:rsidP="00D1695A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22.</w:t>
            </w:r>
            <w:r w:rsidRPr="00CD5714">
              <w:rPr>
                <w:rFonts w:ascii="Arial Narrow" w:eastAsia="Arial" w:hAnsi="Arial Narrow"/>
              </w:rPr>
              <w:tab/>
              <w:t>Stacja ładowania musi spełniać wszystkie wymogi związane z bezpieczeństwem eksploatacji i dopuszczeniem do obrotu obowiązujące w Polsce i UE.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3.</w:t>
            </w:r>
          </w:p>
        </w:tc>
        <w:tc>
          <w:tcPr>
            <w:tcW w:w="1999" w:type="dxa"/>
          </w:tcPr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III. Wymagania ogólne dotyczące zdalnej diagnostyki stacji ładowania oraz zarządzania procesem ładowania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183" w:rsidRPr="00192183" w:rsidRDefault="00164A04" w:rsidP="00192183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</w:t>
            </w:r>
            <w:r w:rsidR="00192183">
              <w:rPr>
                <w:rFonts w:ascii="Arial Narrow" w:eastAsia="Arial" w:hAnsi="Arial Narrow"/>
              </w:rPr>
              <w:t xml:space="preserve">  i skonfiguruje </w:t>
            </w:r>
            <w:r w:rsidRPr="00CD5714">
              <w:rPr>
                <w:rFonts w:ascii="Arial Narrow" w:eastAsia="Arial" w:hAnsi="Arial Narrow"/>
              </w:rPr>
              <w:t>: Serwer wraz z licencją dostępu dla użytkowników końcowych wraz z dwoma jednostkami komputerowymi (jednostka stacjonarna 1szt., laptop/notebook 1szt.) oraz oprogramowan</w:t>
            </w:r>
            <w:r w:rsidR="00192183">
              <w:rPr>
                <w:rFonts w:ascii="Arial Narrow" w:eastAsia="Arial" w:hAnsi="Arial Narrow"/>
              </w:rPr>
              <w:t xml:space="preserve">ie licencyjne do tych jednostek </w:t>
            </w:r>
            <w:r w:rsidR="00192183" w:rsidRPr="00192183">
              <w:rPr>
                <w:rFonts w:ascii="Arial Narrow" w:eastAsia="Arial" w:hAnsi="Arial Narrow"/>
              </w:rPr>
              <w:t>(licencja dożywotnia – nieodpłatna).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Zamawiający zastrzega sobie możliwość dokonania zmiany protokołu w przypadku wprowadzenia standaryzacji światowej lub europejskiej lub wprowadzenia w Polsce standaryzacji na podstawie delegacji wynikającej z obowiązującej ustawy o elektromobilności.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musi przesyłać w czasie rzeczywistym (on-line), na w/w serwer, wybrane sygnały techniczne. Zamawiający wymaga dostępu minimum do następujących sygnałów: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ładowarki – który będzie mógł edytować dowolnie np. zaczynając od: nr. 7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Status: online/offline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Stan: sprawna/niesprawna/brak napięcia sieciowego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Zajętość: wolna/zajęta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Identyfikator autobusu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Data, godzina rozpoczęcia i zakończenia cyklu ładowania, czas trwania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Maksymalna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Minimalna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Chwilowa moc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Łączna wartość energii oddanej w cyklu ładowania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9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Powód zakończenia lub braku rozpoczęcia ładowania.</w:t>
            </w:r>
          </w:p>
          <w:p w:rsidR="00164A04" w:rsidRPr="00CD5714" w:rsidRDefault="00164A04" w:rsidP="00164A04">
            <w:pPr>
              <w:pStyle w:val="Defaul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Ładowarka powinna mieć możliwość zdalnego restartu urządzenia.</w:t>
            </w:r>
          </w:p>
          <w:p w:rsidR="00D1695A" w:rsidRPr="00CD5714" w:rsidRDefault="00164A04" w:rsidP="00503F83">
            <w:pPr>
              <w:pStyle w:val="Default"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 xml:space="preserve">Ładowarka </w:t>
            </w:r>
            <w:r w:rsidR="00503F83">
              <w:rPr>
                <w:rFonts w:ascii="Arial Narrow" w:eastAsia="Arial" w:hAnsi="Arial Narrow"/>
              </w:rPr>
              <w:t>jest</w:t>
            </w:r>
            <w:r w:rsidRPr="00CD5714">
              <w:rPr>
                <w:rFonts w:ascii="Arial Narrow" w:eastAsia="Arial" w:hAnsi="Arial Narrow"/>
              </w:rPr>
              <w:t xml:space="preserve"> wyposażona w system diagnostyczny, który w przypadku wystąpienia błędu poinformuje zdalnie Wykonawcę o jego rodzaju i procedurze postępowania.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  <w:tr w:rsidR="00D1695A" w:rsidRPr="00CD5714" w:rsidTr="00675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95A" w:rsidRPr="00CD5714" w:rsidRDefault="00D1695A" w:rsidP="00DF38EF">
            <w:pPr>
              <w:pStyle w:val="Default"/>
              <w:tabs>
                <w:tab w:val="left" w:pos="0"/>
              </w:tabs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4.</w:t>
            </w:r>
          </w:p>
        </w:tc>
        <w:tc>
          <w:tcPr>
            <w:tcW w:w="1999" w:type="dxa"/>
          </w:tcPr>
          <w:p w:rsidR="00F4303F" w:rsidRPr="00CD5714" w:rsidRDefault="00F4303F" w:rsidP="00F4303F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CD571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IV. Wymagania ogólne dotyczące procedury przygotowania do instalacji, instalacji oraz eksploatacji stacji ładowania:</w:t>
            </w:r>
          </w:p>
          <w:p w:rsidR="00D1695A" w:rsidRPr="00CD5714" w:rsidRDefault="00D1695A" w:rsidP="00D1695A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dostarczy, zamontuje i uruchomi stacje ładowania we wskazanym przez Zamawiającego miejscu.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Po montażu stacji ładowania Wykonawca przeprowadzi niezbędne pomiary i odbiory techniczne, zgodne z obowiązującymi w tym zakresie przepisami i ewentualnymi wymaganiami UDT, które zostaną potwierdzone stosownymi protokołami</w:t>
            </w:r>
          </w:p>
          <w:p w:rsidR="00F4303F" w:rsidRPr="00CD5714" w:rsidRDefault="00503F83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>Wykonawca udziela 8 lat - 96</w:t>
            </w:r>
            <w:r w:rsidR="00F4303F" w:rsidRPr="00CD5714">
              <w:rPr>
                <w:rFonts w:ascii="Arial Narrow" w:eastAsia="Arial" w:hAnsi="Arial Narrow"/>
              </w:rPr>
              <w:t xml:space="preserve"> miesięcy gwarancji oraz zapewni</w:t>
            </w:r>
            <w:r>
              <w:rPr>
                <w:rFonts w:ascii="Arial Narrow" w:eastAsia="Arial" w:hAnsi="Arial Narrow"/>
              </w:rPr>
              <w:t>a</w:t>
            </w:r>
            <w:r w:rsidR="00F4303F" w:rsidRPr="00CD5714">
              <w:rPr>
                <w:rFonts w:ascii="Arial Narrow" w:eastAsia="Arial" w:hAnsi="Arial Narrow"/>
              </w:rPr>
              <w:t xml:space="preserve"> usługi gwarancyjne na warunkach zgodnych z obowiązującymi przepisami prawa.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</w:t>
            </w:r>
            <w:r w:rsidR="00B351F9">
              <w:rPr>
                <w:rFonts w:ascii="Arial Narrow" w:eastAsia="Arial" w:hAnsi="Arial Narrow"/>
              </w:rPr>
              <w:t xml:space="preserve"> w okresie gwarancji zobowiązuje się</w:t>
            </w:r>
            <w:r w:rsidRPr="00CD5714">
              <w:rPr>
                <w:rFonts w:ascii="Arial Narrow" w:eastAsia="Arial" w:hAnsi="Arial Narrow"/>
              </w:rPr>
              <w:t xml:space="preserve"> jest wykonywać bez dodatkowych opłat obsługi, niezbędne pomiary elektryczne, przeglądy dostarczonych urządzeń zgodnie z warunkami gwarancji, DTR oraz obowiązującymi przepisami prawa zapewniając bez dodatkowych opłat wszelkie materiały eksploatacyjne niezbędne do wykonywania przywołanych wyżej czynności.</w:t>
            </w:r>
          </w:p>
          <w:p w:rsidR="00F4303F" w:rsidRPr="00CD5714" w:rsidRDefault="00F4303F" w:rsidP="00F4303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CD5714">
              <w:rPr>
                <w:rFonts w:ascii="Arial Narrow" w:eastAsia="Arial" w:hAnsi="Arial Narrow"/>
              </w:rPr>
              <w:t>Wykonawca dostarczy dokumentację techniczno-ruchową do zainstalowanej ładowarki w języku polskim.</w:t>
            </w:r>
          </w:p>
          <w:p w:rsidR="00736C6F" w:rsidRPr="00736C6F" w:rsidRDefault="00736C6F" w:rsidP="00736C6F">
            <w:pPr>
              <w:pStyle w:val="Default"/>
              <w:numPr>
                <w:ilvl w:val="0"/>
                <w:numId w:val="10"/>
              </w:numPr>
              <w:snapToGrid w:val="0"/>
              <w:spacing w:line="276" w:lineRule="auto"/>
              <w:rPr>
                <w:rFonts w:ascii="Arial Narrow" w:eastAsia="Arial" w:hAnsi="Arial Narrow"/>
              </w:rPr>
            </w:pPr>
            <w:r w:rsidRPr="00736C6F">
              <w:rPr>
                <w:rFonts w:ascii="Arial Narrow" w:eastAsia="Arial" w:hAnsi="Arial Narrow"/>
              </w:rPr>
              <w:t xml:space="preserve">Wykonawca zapewnia, że ładowarki spełniają wszystkie obowiązujące na dzień     </w:t>
            </w:r>
          </w:p>
          <w:p w:rsidR="00D1695A" w:rsidRPr="00CD5714" w:rsidRDefault="009E6DEA" w:rsidP="009E6DEA">
            <w:pPr>
              <w:pStyle w:val="Default"/>
              <w:snapToGrid w:val="0"/>
              <w:spacing w:line="276" w:lineRule="auto"/>
              <w:ind w:left="360"/>
              <w:rPr>
                <w:rFonts w:ascii="Arial Narrow" w:eastAsia="Arial" w:hAnsi="Arial Narrow"/>
              </w:rPr>
            </w:pPr>
            <w:r>
              <w:rPr>
                <w:rFonts w:ascii="Arial Narrow" w:eastAsia="Arial" w:hAnsi="Arial Narrow"/>
              </w:rPr>
              <w:t xml:space="preserve">  </w:t>
            </w:r>
            <w:bookmarkStart w:id="0" w:name="_GoBack"/>
            <w:bookmarkEnd w:id="0"/>
            <w:r w:rsidR="00736C6F">
              <w:rPr>
                <w:rFonts w:ascii="Arial Narrow" w:eastAsia="Arial" w:hAnsi="Arial Narrow"/>
              </w:rPr>
              <w:t xml:space="preserve">     składania ofert</w:t>
            </w:r>
            <w:r w:rsidR="00736C6F" w:rsidRPr="00736C6F">
              <w:rPr>
                <w:rFonts w:ascii="Arial Narrow" w:eastAsia="Arial" w:hAnsi="Arial Narrow"/>
              </w:rPr>
              <w:t xml:space="preserve"> normy, dyrektywy i przepisy prawa.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rPr>
                <w:rFonts w:ascii="Arial Narrow" w:eastAsia="Arial" w:hAnsi="Arial Narrow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95A" w:rsidRPr="00CD5714" w:rsidRDefault="00D1695A" w:rsidP="00DF38EF">
            <w:pPr>
              <w:pStyle w:val="Default"/>
              <w:suppressAutoHyphens/>
              <w:autoSpaceDN/>
              <w:adjustRightInd/>
              <w:snapToGrid w:val="0"/>
              <w:spacing w:line="276" w:lineRule="auto"/>
              <w:ind w:left="850"/>
              <w:rPr>
                <w:rFonts w:ascii="Arial Narrow" w:eastAsia="Arial" w:hAnsi="Arial Narrow"/>
              </w:rPr>
            </w:pPr>
          </w:p>
        </w:tc>
      </w:tr>
    </w:tbl>
    <w:p w:rsidR="001B76FC" w:rsidRPr="00CD5714" w:rsidRDefault="001B76FC">
      <w:pPr>
        <w:rPr>
          <w:rFonts w:ascii="Arial Narrow" w:hAnsi="Arial Narrow" w:cs="Times New Roman"/>
          <w:sz w:val="24"/>
          <w:szCs w:val="24"/>
        </w:rPr>
      </w:pPr>
    </w:p>
    <w:sectPr w:rsidR="001B76FC" w:rsidRPr="00CD5714" w:rsidSect="006C65D5">
      <w:headerReference w:type="default" r:id="rId8"/>
      <w:footerReference w:type="default" r:id="rId9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39D" w:rsidRDefault="002C439D" w:rsidP="00583186">
      <w:pPr>
        <w:spacing w:after="0" w:line="240" w:lineRule="auto"/>
      </w:pPr>
      <w:r>
        <w:separator/>
      </w:r>
    </w:p>
  </w:endnote>
  <w:endnote w:type="continuationSeparator" w:id="0">
    <w:p w:rsidR="002C439D" w:rsidRDefault="002C439D" w:rsidP="0058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688199"/>
      <w:docPartObj>
        <w:docPartGallery w:val="Page Numbers (Bottom of Page)"/>
        <w:docPartUnique/>
      </w:docPartObj>
    </w:sdtPr>
    <w:sdtEndPr/>
    <w:sdtContent>
      <w:p w:rsidR="00F273D2" w:rsidRDefault="00F273D2">
        <w:pPr>
          <w:pStyle w:val="Stopka"/>
          <w:jc w:val="center"/>
        </w:pPr>
      </w:p>
      <w:p w:rsidR="00F273D2" w:rsidRDefault="00F273D2" w:rsidP="005831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39D">
          <w:rPr>
            <w:noProof/>
          </w:rPr>
          <w:t>1</w:t>
        </w:r>
        <w:r>
          <w:fldChar w:fldCharType="end"/>
        </w:r>
      </w:p>
    </w:sdtContent>
  </w:sdt>
  <w:p w:rsidR="00F273D2" w:rsidRDefault="00F27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39D" w:rsidRDefault="002C439D" w:rsidP="00583186">
      <w:pPr>
        <w:spacing w:after="0" w:line="240" w:lineRule="auto"/>
      </w:pPr>
      <w:r>
        <w:separator/>
      </w:r>
    </w:p>
  </w:footnote>
  <w:footnote w:type="continuationSeparator" w:id="0">
    <w:p w:rsidR="002C439D" w:rsidRDefault="002C439D" w:rsidP="0058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3D2" w:rsidRDefault="00F273D2">
    <w:pPr>
      <w:pStyle w:val="Nagwek"/>
    </w:pPr>
  </w:p>
  <w:p w:rsidR="00F273D2" w:rsidRDefault="00F273D2" w:rsidP="00190B87">
    <w:pPr>
      <w:pStyle w:val="Nagwek"/>
      <w:jc w:val="center"/>
    </w:pPr>
  </w:p>
  <w:p w:rsidR="00F273D2" w:rsidRDefault="00F273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Lucida Sans Unicode" w:hAnsi="Arial Narrow" w:cs="Arial Narrow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cs="Arial Narrow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"/>
        </w:tabs>
        <w:ind w:left="135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5B37B8D"/>
    <w:multiLevelType w:val="hybridMultilevel"/>
    <w:tmpl w:val="6972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3FB2"/>
    <w:multiLevelType w:val="hybridMultilevel"/>
    <w:tmpl w:val="D45C4658"/>
    <w:lvl w:ilvl="0" w:tplc="EBA849DC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7D056FF"/>
    <w:multiLevelType w:val="hybridMultilevel"/>
    <w:tmpl w:val="9E34C810"/>
    <w:lvl w:ilvl="0" w:tplc="4F3637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trike w:val="0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22ED3"/>
    <w:multiLevelType w:val="hybridMultilevel"/>
    <w:tmpl w:val="5FA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4359"/>
    <w:multiLevelType w:val="hybridMultilevel"/>
    <w:tmpl w:val="7BD65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5FF6"/>
    <w:multiLevelType w:val="hybridMultilevel"/>
    <w:tmpl w:val="5B2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775D"/>
    <w:multiLevelType w:val="hybridMultilevel"/>
    <w:tmpl w:val="1588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126E"/>
    <w:multiLevelType w:val="hybridMultilevel"/>
    <w:tmpl w:val="E834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D2531"/>
    <w:multiLevelType w:val="hybridMultilevel"/>
    <w:tmpl w:val="E584B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B6"/>
    <w:rsid w:val="000314F1"/>
    <w:rsid w:val="00034623"/>
    <w:rsid w:val="00037406"/>
    <w:rsid w:val="0004157B"/>
    <w:rsid w:val="00043A34"/>
    <w:rsid w:val="00047652"/>
    <w:rsid w:val="00053504"/>
    <w:rsid w:val="00054640"/>
    <w:rsid w:val="0006316A"/>
    <w:rsid w:val="00063F07"/>
    <w:rsid w:val="0009555F"/>
    <w:rsid w:val="000B715D"/>
    <w:rsid w:val="000C4D7B"/>
    <w:rsid w:val="000C7BE2"/>
    <w:rsid w:val="000C7D82"/>
    <w:rsid w:val="000E2F78"/>
    <w:rsid w:val="000E55EB"/>
    <w:rsid w:val="000F0A9C"/>
    <w:rsid w:val="0010475F"/>
    <w:rsid w:val="001560DB"/>
    <w:rsid w:val="00156E1A"/>
    <w:rsid w:val="00164A04"/>
    <w:rsid w:val="00177D5D"/>
    <w:rsid w:val="00181794"/>
    <w:rsid w:val="00190B87"/>
    <w:rsid w:val="00192183"/>
    <w:rsid w:val="00195E53"/>
    <w:rsid w:val="001B18BF"/>
    <w:rsid w:val="001B2A69"/>
    <w:rsid w:val="001B3FE5"/>
    <w:rsid w:val="001B46B1"/>
    <w:rsid w:val="001B76FC"/>
    <w:rsid w:val="001C2554"/>
    <w:rsid w:val="001C7AA7"/>
    <w:rsid w:val="001E19D6"/>
    <w:rsid w:val="001E4DD8"/>
    <w:rsid w:val="00202110"/>
    <w:rsid w:val="002077F9"/>
    <w:rsid w:val="00216B32"/>
    <w:rsid w:val="00231294"/>
    <w:rsid w:val="0023285B"/>
    <w:rsid w:val="00243ADB"/>
    <w:rsid w:val="00247762"/>
    <w:rsid w:val="00270479"/>
    <w:rsid w:val="002872BB"/>
    <w:rsid w:val="002972C3"/>
    <w:rsid w:val="002A17A7"/>
    <w:rsid w:val="002A4AF3"/>
    <w:rsid w:val="002C09E1"/>
    <w:rsid w:val="002C1374"/>
    <w:rsid w:val="002C439D"/>
    <w:rsid w:val="002E3FAA"/>
    <w:rsid w:val="003037AD"/>
    <w:rsid w:val="00315ACB"/>
    <w:rsid w:val="00315C8B"/>
    <w:rsid w:val="00317558"/>
    <w:rsid w:val="0033395A"/>
    <w:rsid w:val="003356AB"/>
    <w:rsid w:val="00341680"/>
    <w:rsid w:val="00345F1E"/>
    <w:rsid w:val="003815BC"/>
    <w:rsid w:val="003C7CDD"/>
    <w:rsid w:val="003D5EA8"/>
    <w:rsid w:val="003F4AA0"/>
    <w:rsid w:val="003F6A8C"/>
    <w:rsid w:val="0041782D"/>
    <w:rsid w:val="00420C31"/>
    <w:rsid w:val="00436D14"/>
    <w:rsid w:val="00440E08"/>
    <w:rsid w:val="0046773F"/>
    <w:rsid w:val="00486B4E"/>
    <w:rsid w:val="004A1EDD"/>
    <w:rsid w:val="004A629C"/>
    <w:rsid w:val="004B16C9"/>
    <w:rsid w:val="004C1EB4"/>
    <w:rsid w:val="004C6D20"/>
    <w:rsid w:val="004C7A13"/>
    <w:rsid w:val="004E7F2B"/>
    <w:rsid w:val="004F4FE7"/>
    <w:rsid w:val="00503F83"/>
    <w:rsid w:val="00505C3E"/>
    <w:rsid w:val="00543539"/>
    <w:rsid w:val="00545EFE"/>
    <w:rsid w:val="00564910"/>
    <w:rsid w:val="00583186"/>
    <w:rsid w:val="00585BE9"/>
    <w:rsid w:val="00597401"/>
    <w:rsid w:val="005A0C4B"/>
    <w:rsid w:val="005B2086"/>
    <w:rsid w:val="005D0AAC"/>
    <w:rsid w:val="005E07B1"/>
    <w:rsid w:val="005E3052"/>
    <w:rsid w:val="005E40B9"/>
    <w:rsid w:val="005F3A4B"/>
    <w:rsid w:val="006076C6"/>
    <w:rsid w:val="0061692A"/>
    <w:rsid w:val="00616B61"/>
    <w:rsid w:val="00617DCF"/>
    <w:rsid w:val="00625F4E"/>
    <w:rsid w:val="00630425"/>
    <w:rsid w:val="00643D2F"/>
    <w:rsid w:val="00644EB1"/>
    <w:rsid w:val="00660C2C"/>
    <w:rsid w:val="00661856"/>
    <w:rsid w:val="006701B2"/>
    <w:rsid w:val="00671AA7"/>
    <w:rsid w:val="00675EA2"/>
    <w:rsid w:val="00683081"/>
    <w:rsid w:val="00691D3A"/>
    <w:rsid w:val="006958A9"/>
    <w:rsid w:val="006978C2"/>
    <w:rsid w:val="006B13C8"/>
    <w:rsid w:val="006C65D5"/>
    <w:rsid w:val="00702ABB"/>
    <w:rsid w:val="007071FE"/>
    <w:rsid w:val="00713649"/>
    <w:rsid w:val="00714F41"/>
    <w:rsid w:val="007325C1"/>
    <w:rsid w:val="00733A87"/>
    <w:rsid w:val="00735595"/>
    <w:rsid w:val="00736C6F"/>
    <w:rsid w:val="00741468"/>
    <w:rsid w:val="00751CE0"/>
    <w:rsid w:val="007707F0"/>
    <w:rsid w:val="00790648"/>
    <w:rsid w:val="007C2EE6"/>
    <w:rsid w:val="007D7FFD"/>
    <w:rsid w:val="007E0C7D"/>
    <w:rsid w:val="007E1313"/>
    <w:rsid w:val="007F0F22"/>
    <w:rsid w:val="007F5F8B"/>
    <w:rsid w:val="008014F6"/>
    <w:rsid w:val="00815532"/>
    <w:rsid w:val="00831B91"/>
    <w:rsid w:val="00835293"/>
    <w:rsid w:val="00873DBC"/>
    <w:rsid w:val="00886711"/>
    <w:rsid w:val="008A5421"/>
    <w:rsid w:val="008A6867"/>
    <w:rsid w:val="008B4106"/>
    <w:rsid w:val="008C01D9"/>
    <w:rsid w:val="008C1649"/>
    <w:rsid w:val="008C27D0"/>
    <w:rsid w:val="008C34BD"/>
    <w:rsid w:val="008C6172"/>
    <w:rsid w:val="008D6C7E"/>
    <w:rsid w:val="009202D3"/>
    <w:rsid w:val="00925C49"/>
    <w:rsid w:val="00934858"/>
    <w:rsid w:val="00936CED"/>
    <w:rsid w:val="00946620"/>
    <w:rsid w:val="009744F6"/>
    <w:rsid w:val="00977421"/>
    <w:rsid w:val="00984400"/>
    <w:rsid w:val="009942FC"/>
    <w:rsid w:val="00997050"/>
    <w:rsid w:val="00997054"/>
    <w:rsid w:val="0099729A"/>
    <w:rsid w:val="00997F17"/>
    <w:rsid w:val="009A3076"/>
    <w:rsid w:val="009A6E61"/>
    <w:rsid w:val="009B0632"/>
    <w:rsid w:val="009B61A2"/>
    <w:rsid w:val="009E1B76"/>
    <w:rsid w:val="009E6DEA"/>
    <w:rsid w:val="009E77BE"/>
    <w:rsid w:val="00A10A1F"/>
    <w:rsid w:val="00A315A6"/>
    <w:rsid w:val="00A45938"/>
    <w:rsid w:val="00A47F14"/>
    <w:rsid w:val="00A5662C"/>
    <w:rsid w:val="00A63380"/>
    <w:rsid w:val="00A64E5A"/>
    <w:rsid w:val="00A67381"/>
    <w:rsid w:val="00A7215D"/>
    <w:rsid w:val="00A72F97"/>
    <w:rsid w:val="00A917B6"/>
    <w:rsid w:val="00AA55B4"/>
    <w:rsid w:val="00AA72A8"/>
    <w:rsid w:val="00AB247C"/>
    <w:rsid w:val="00AE7660"/>
    <w:rsid w:val="00AF25A3"/>
    <w:rsid w:val="00AF5181"/>
    <w:rsid w:val="00AF5F26"/>
    <w:rsid w:val="00B16AD8"/>
    <w:rsid w:val="00B351F9"/>
    <w:rsid w:val="00B3796D"/>
    <w:rsid w:val="00B44B1C"/>
    <w:rsid w:val="00B46CD7"/>
    <w:rsid w:val="00B637F3"/>
    <w:rsid w:val="00B7753A"/>
    <w:rsid w:val="00B80B17"/>
    <w:rsid w:val="00B854CE"/>
    <w:rsid w:val="00B858AE"/>
    <w:rsid w:val="00BA0373"/>
    <w:rsid w:val="00BA560A"/>
    <w:rsid w:val="00BE1E01"/>
    <w:rsid w:val="00BE30D0"/>
    <w:rsid w:val="00BE79E0"/>
    <w:rsid w:val="00C16D62"/>
    <w:rsid w:val="00C47702"/>
    <w:rsid w:val="00C53CDD"/>
    <w:rsid w:val="00C61F73"/>
    <w:rsid w:val="00C70EC1"/>
    <w:rsid w:val="00C85563"/>
    <w:rsid w:val="00CA57B7"/>
    <w:rsid w:val="00CB3F26"/>
    <w:rsid w:val="00CB7D88"/>
    <w:rsid w:val="00CD5714"/>
    <w:rsid w:val="00CE39CF"/>
    <w:rsid w:val="00D017B0"/>
    <w:rsid w:val="00D02387"/>
    <w:rsid w:val="00D075CC"/>
    <w:rsid w:val="00D13E8B"/>
    <w:rsid w:val="00D1695A"/>
    <w:rsid w:val="00D41C8D"/>
    <w:rsid w:val="00D4472C"/>
    <w:rsid w:val="00D46E27"/>
    <w:rsid w:val="00D51E42"/>
    <w:rsid w:val="00D52C58"/>
    <w:rsid w:val="00D60DAF"/>
    <w:rsid w:val="00D643FA"/>
    <w:rsid w:val="00D71726"/>
    <w:rsid w:val="00D947DE"/>
    <w:rsid w:val="00D95903"/>
    <w:rsid w:val="00DC15AD"/>
    <w:rsid w:val="00DC4B01"/>
    <w:rsid w:val="00DD3694"/>
    <w:rsid w:val="00DF38EF"/>
    <w:rsid w:val="00DF444E"/>
    <w:rsid w:val="00E01D00"/>
    <w:rsid w:val="00E022C7"/>
    <w:rsid w:val="00E14844"/>
    <w:rsid w:val="00E251C8"/>
    <w:rsid w:val="00E25748"/>
    <w:rsid w:val="00E26E38"/>
    <w:rsid w:val="00E3470C"/>
    <w:rsid w:val="00E3636C"/>
    <w:rsid w:val="00E46302"/>
    <w:rsid w:val="00E51709"/>
    <w:rsid w:val="00E51FE2"/>
    <w:rsid w:val="00E63F5D"/>
    <w:rsid w:val="00E644F1"/>
    <w:rsid w:val="00E672CE"/>
    <w:rsid w:val="00E7195C"/>
    <w:rsid w:val="00E74377"/>
    <w:rsid w:val="00E9346C"/>
    <w:rsid w:val="00E95D4C"/>
    <w:rsid w:val="00EB6EDF"/>
    <w:rsid w:val="00EB6F65"/>
    <w:rsid w:val="00ED01BA"/>
    <w:rsid w:val="00ED1E02"/>
    <w:rsid w:val="00ED38A2"/>
    <w:rsid w:val="00EE090A"/>
    <w:rsid w:val="00F02AB1"/>
    <w:rsid w:val="00F03C36"/>
    <w:rsid w:val="00F03FE0"/>
    <w:rsid w:val="00F042B9"/>
    <w:rsid w:val="00F273D2"/>
    <w:rsid w:val="00F27971"/>
    <w:rsid w:val="00F30CE9"/>
    <w:rsid w:val="00F362E3"/>
    <w:rsid w:val="00F36F0C"/>
    <w:rsid w:val="00F4303F"/>
    <w:rsid w:val="00F46F12"/>
    <w:rsid w:val="00F6099A"/>
    <w:rsid w:val="00F70DA7"/>
    <w:rsid w:val="00F769DB"/>
    <w:rsid w:val="00F823B6"/>
    <w:rsid w:val="00F93041"/>
    <w:rsid w:val="00FA0D9A"/>
    <w:rsid w:val="00FE0DBE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2529D-404C-41FE-8BD0-62367059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86"/>
  </w:style>
  <w:style w:type="paragraph" w:styleId="Stopka">
    <w:name w:val="footer"/>
    <w:basedOn w:val="Normalny"/>
    <w:link w:val="StopkaZnak"/>
    <w:uiPriority w:val="99"/>
    <w:unhideWhenUsed/>
    <w:rsid w:val="0058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86"/>
  </w:style>
  <w:style w:type="paragraph" w:customStyle="1" w:styleId="Default">
    <w:name w:val="Default"/>
    <w:rsid w:val="00E25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867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31B5-8756-4731-AA5C-11A4382D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MPK1</cp:lastModifiedBy>
  <cp:revision>2</cp:revision>
  <cp:lastPrinted>2021-12-10T06:36:00Z</cp:lastPrinted>
  <dcterms:created xsi:type="dcterms:W3CDTF">2021-11-30T13:04:00Z</dcterms:created>
  <dcterms:modified xsi:type="dcterms:W3CDTF">2021-12-10T12:24:00Z</dcterms:modified>
</cp:coreProperties>
</file>